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30" w:rsidRDefault="00976807" w:rsidP="009768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625F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Процедура </w:t>
      </w:r>
    </w:p>
    <w:p w:rsidR="00625F30" w:rsidRDefault="00976807" w:rsidP="009768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625F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подання (з дотриманням конфіденційності) заяви </w:t>
      </w:r>
    </w:p>
    <w:p w:rsidR="00976807" w:rsidRPr="00625F30" w:rsidRDefault="00976807" w:rsidP="009768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625F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про випадки </w:t>
      </w:r>
      <w:proofErr w:type="spellStart"/>
      <w:r w:rsidRPr="00625F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>булінгу</w:t>
      </w:r>
      <w:proofErr w:type="spellEnd"/>
      <w:r w:rsidRPr="00625F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 (цькування)</w:t>
      </w:r>
    </w:p>
    <w:p w:rsidR="00976807" w:rsidRPr="00625F30" w:rsidRDefault="00976807" w:rsidP="009768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</w:p>
    <w:p w:rsidR="00976807" w:rsidRPr="00625F30" w:rsidRDefault="00976807" w:rsidP="009768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Усі здобувачі освіти, науково-педагогічні працівники БДМУ, батьки та інші учасники освітнього процесу повинні обов’язково повідомити ректора БДМУ про випадки </w:t>
      </w:r>
      <w:proofErr w:type="spellStart"/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булінгу</w:t>
      </w:r>
      <w:proofErr w:type="spellEnd"/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Науково-педагогічний працівник, куратор академічної групи або інший працівник Університету, який став свідком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або отримав повідомлення про факт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від здобувача освіти, який був свідком або учасником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зобов’язаний повідомити </w:t>
      </w: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ректора БДМУ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про цей факт. 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На ім’я ректора БДМУ пишеться заява (конфіденційність гарантується) про випадок боулінгу (цькування)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«Про звернення громадян».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Ректор БДМУ </w:t>
      </w:r>
      <w:r w:rsidRPr="00625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розглядає, у строки визначені законодавством України,  заяви про випадки </w:t>
      </w:r>
      <w:proofErr w:type="spellStart"/>
      <w:r w:rsidRPr="00625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625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</w:t>
      </w:r>
      <w:proofErr w:type="spellStart"/>
      <w:r w:rsidRPr="00625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625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(цькування) для прийняття рішення за результатами проведеного розслідування та вживає відповідних заходів реагування.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До складу такої комісії з розгляду входять науково-педагогічні працівники, юрисконсульт БДМУ, психолог) батьки постраждалого та </w:t>
      </w:r>
      <w:proofErr w:type="spellStart"/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булерів</w:t>
      </w:r>
      <w:proofErr w:type="spellEnd"/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, директор коледжу БДМУ/декан факультету та інші зацікавлені особи.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випадок цькування був </w:t>
      </w:r>
      <w:r w:rsidR="00625F30" w:rsidRPr="00625F30">
        <w:rPr>
          <w:rFonts w:ascii="Times New Roman" w:hAnsi="Times New Roman" w:cs="Times New Roman"/>
          <w:sz w:val="28"/>
          <w:szCs w:val="28"/>
          <w:lang w:val="uk-UA"/>
        </w:rPr>
        <w:t>єдино разовим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, питання з налагодження мікроклімату в студентському середовищі та розв’язання конфлікту вирішується у межах закладу освіти учасниками освітнього процесу. 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разі якщо комісія не кваліфікує випадок як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, а постраждалий не згоден з цим, то він може одразу звернутись до органів Національної поліції України. Але за будь-якого рішення комісії адміністрація БДМУ забезпечує психологічну підтримку усім учасникам випадку. 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hAnsi="Times New Roman" w:cs="Times New Roman"/>
          <w:sz w:val="28"/>
          <w:szCs w:val="28"/>
          <w:lang w:val="uk-UA"/>
        </w:rPr>
        <w:t>Студент, за необхідності,  може звернутись на гарячу лінію ГО «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Страда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студента, відповідна особа або орган інформує ректора БДМУ у письмовій формі про випадок </w:t>
      </w:r>
      <w:r w:rsidR="00625F30">
        <w:rPr>
          <w:rFonts w:ascii="Times New Roman" w:hAnsi="Times New Roman" w:cs="Times New Roman"/>
          <w:sz w:val="28"/>
          <w:szCs w:val="28"/>
          <w:lang w:val="uk-UA"/>
        </w:rPr>
        <w:t xml:space="preserve">боулінгу, що передбачає розгляд 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625F3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та з’ясува</w:t>
      </w:r>
      <w:r w:rsidR="00625F30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 w:rsidR="00625F3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обставини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right="-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Якщо комісія визнала, що це був </w:t>
      </w:r>
      <w:proofErr w:type="spellStart"/>
      <w:r w:rsidRPr="00625F3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, а не одноразовий конфлікт, то </w:t>
      </w:r>
      <w:r w:rsidR="00625F3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ектор БДМУ</w:t>
      </w:r>
      <w:r w:rsidRPr="00625F30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уповноважені підрозділи органів Національної поліції України та Службу у справах дітей (якщо здобувач освіти не досяг 18-річного віку). </w:t>
      </w:r>
    </w:p>
    <w:p w:rsidR="00976807" w:rsidRPr="00625F30" w:rsidRDefault="00976807" w:rsidP="00976807">
      <w:pPr>
        <w:pStyle w:val="a3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Особи, які за результатами розслідування є причетними до </w:t>
      </w:r>
      <w:proofErr w:type="spellStart"/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булінгу</w:t>
      </w:r>
      <w:proofErr w:type="spellEnd"/>
      <w:r w:rsidRPr="00625F30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, несуть відповідальність відповідно до Кодексу України про адміністративні правопорушення.</w:t>
      </w:r>
    </w:p>
    <w:p w:rsidR="00976807" w:rsidRPr="00625F30" w:rsidRDefault="00976807" w:rsidP="00976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</w:p>
    <w:p w:rsidR="00AE3231" w:rsidRPr="00625F30" w:rsidRDefault="00AE3231">
      <w:pPr>
        <w:rPr>
          <w:lang w:val="uk-UA"/>
        </w:rPr>
      </w:pPr>
      <w:bookmarkStart w:id="0" w:name="_GoBack"/>
      <w:bookmarkEnd w:id="0"/>
    </w:p>
    <w:p w:rsidR="00625F30" w:rsidRPr="00625F30" w:rsidRDefault="00625F30">
      <w:pPr>
        <w:rPr>
          <w:lang w:val="uk-UA"/>
        </w:rPr>
      </w:pPr>
    </w:p>
    <w:sectPr w:rsidR="00625F30" w:rsidRPr="00625F30" w:rsidSect="00E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7E79"/>
    <w:multiLevelType w:val="hybridMultilevel"/>
    <w:tmpl w:val="0A6423A0"/>
    <w:lvl w:ilvl="0" w:tplc="7C5E89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C49"/>
    <w:rsid w:val="00153C49"/>
    <w:rsid w:val="00625F30"/>
    <w:rsid w:val="00976807"/>
    <w:rsid w:val="00AE3231"/>
    <w:rsid w:val="00C82070"/>
    <w:rsid w:val="00E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NinaZoriu</cp:lastModifiedBy>
  <cp:revision>3</cp:revision>
  <dcterms:created xsi:type="dcterms:W3CDTF">2020-02-05T08:30:00Z</dcterms:created>
  <dcterms:modified xsi:type="dcterms:W3CDTF">2020-03-12T15:08:00Z</dcterms:modified>
</cp:coreProperties>
</file>