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6"/>
      </w:tblGrid>
      <w:tr w:rsidR="00F30840">
        <w:trPr>
          <w:trHeight w:val="318"/>
        </w:trPr>
        <w:tc>
          <w:tcPr>
            <w:tcW w:w="9358" w:type="dxa"/>
            <w:gridSpan w:val="2"/>
            <w:tcBorders>
              <w:right w:val="single" w:sz="6" w:space="0" w:color="000000"/>
            </w:tcBorders>
          </w:tcPr>
          <w:p w:rsidR="00F30840" w:rsidRPr="0086108C" w:rsidRDefault="00243F17">
            <w:pPr>
              <w:pStyle w:val="TableParagraph"/>
              <w:spacing w:line="272" w:lineRule="exact"/>
              <w:ind w:left="4329" w:right="4323"/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86108C">
              <w:rPr>
                <w:b/>
                <w:color w:val="FF0000"/>
                <w:sz w:val="24"/>
              </w:rPr>
              <w:t>І курс</w:t>
            </w:r>
          </w:p>
        </w:tc>
      </w:tr>
      <w:tr w:rsidR="00F30840">
        <w:trPr>
          <w:trHeight w:val="316"/>
        </w:trPr>
        <w:tc>
          <w:tcPr>
            <w:tcW w:w="2552" w:type="dxa"/>
          </w:tcPr>
          <w:p w:rsidR="00F30840" w:rsidRDefault="00243F1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806" w:type="dxa"/>
            <w:tcBorders>
              <w:right w:val="single" w:sz="6" w:space="0" w:color="000000"/>
            </w:tcBorders>
          </w:tcPr>
          <w:p w:rsidR="00F30840" w:rsidRDefault="00871C76" w:rsidP="00871C76">
            <w:pPr>
              <w:pStyle w:val="TableParagraph"/>
              <w:spacing w:line="270" w:lineRule="exact"/>
              <w:ind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«Перша долікарська допомога</w:t>
            </w:r>
          </w:p>
        </w:tc>
      </w:tr>
      <w:tr w:rsidR="00F30840">
        <w:trPr>
          <w:trHeight w:val="318"/>
        </w:trPr>
        <w:tc>
          <w:tcPr>
            <w:tcW w:w="2552" w:type="dxa"/>
          </w:tcPr>
          <w:p w:rsidR="00F30840" w:rsidRDefault="00243F1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6806" w:type="dxa"/>
            <w:tcBorders>
              <w:right w:val="single" w:sz="6" w:space="0" w:color="000000"/>
            </w:tcBorders>
          </w:tcPr>
          <w:p w:rsidR="00F30840" w:rsidRDefault="0086108C">
            <w:pPr>
              <w:pStyle w:val="TableParagraph"/>
              <w:spacing w:line="269" w:lineRule="exact"/>
              <w:ind w:left="1750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Внутрішня медицина</w:t>
            </w:r>
          </w:p>
        </w:tc>
      </w:tr>
      <w:tr w:rsidR="00F30840">
        <w:trPr>
          <w:trHeight w:val="1269"/>
        </w:trPr>
        <w:tc>
          <w:tcPr>
            <w:tcW w:w="2552" w:type="dxa"/>
          </w:tcPr>
          <w:p w:rsidR="00F30840" w:rsidRDefault="00243F17">
            <w:pPr>
              <w:pStyle w:val="TableParagraph"/>
              <w:spacing w:line="276" w:lineRule="auto"/>
              <w:ind w:left="10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Науково-педагогічні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працівники, які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викладатимуть</w:t>
            </w:r>
          </w:p>
          <w:p w:rsidR="00F30840" w:rsidRDefault="00243F1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дисципліну</w:t>
            </w:r>
          </w:p>
        </w:tc>
        <w:tc>
          <w:tcPr>
            <w:tcW w:w="6806" w:type="dxa"/>
            <w:tcBorders>
              <w:right w:val="single" w:sz="6" w:space="0" w:color="000000"/>
            </w:tcBorders>
          </w:tcPr>
          <w:p w:rsidR="00F30840" w:rsidRDefault="00243F17" w:rsidP="0086108C">
            <w:pPr>
              <w:pStyle w:val="TableParagraph"/>
              <w:ind w:left="107" w:right="4398"/>
              <w:rPr>
                <w:sz w:val="24"/>
              </w:rPr>
            </w:pPr>
            <w:r>
              <w:rPr>
                <w:sz w:val="24"/>
              </w:rPr>
              <w:t>ас.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86108C">
              <w:rPr>
                <w:sz w:val="24"/>
              </w:rPr>
              <w:t>Буздуган</w:t>
            </w:r>
            <w:proofErr w:type="spellEnd"/>
            <w:r w:rsidR="0086108C">
              <w:rPr>
                <w:sz w:val="24"/>
              </w:rPr>
              <w:t xml:space="preserve"> І.О</w:t>
            </w:r>
          </w:p>
        </w:tc>
      </w:tr>
      <w:tr w:rsidR="00F30840">
        <w:trPr>
          <w:trHeight w:val="3843"/>
        </w:trPr>
        <w:tc>
          <w:tcPr>
            <w:tcW w:w="2552" w:type="dxa"/>
            <w:tcBorders>
              <w:bottom w:val="nil"/>
            </w:tcBorders>
          </w:tcPr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spacing w:before="10"/>
              <w:rPr>
                <w:sz w:val="21"/>
              </w:rPr>
            </w:pPr>
          </w:p>
          <w:p w:rsidR="00F30840" w:rsidRDefault="00243F17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Короткий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</w:t>
            </w:r>
          </w:p>
        </w:tc>
        <w:tc>
          <w:tcPr>
            <w:tcW w:w="6806" w:type="dxa"/>
            <w:vMerge w:val="restart"/>
            <w:tcBorders>
              <w:right w:val="single" w:sz="6" w:space="0" w:color="000000"/>
            </w:tcBorders>
          </w:tcPr>
          <w:p w:rsidR="00F30840" w:rsidRDefault="00243F17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 w:rsidR="0086108C">
              <w:rPr>
                <w:sz w:val="24"/>
              </w:rPr>
              <w:t>медичних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медицини.</w:t>
            </w:r>
          </w:p>
          <w:p w:rsidR="0086108C" w:rsidRPr="0086108C" w:rsidRDefault="0086108C" w:rsidP="0086108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07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Метою</w:t>
            </w:r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 навчальної дисципліни перша долікарська допомога є: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придбання знань з методів догляду за хворими, виконання лікувальних процедур для успішного надання невідкладної медичної допомоги потерпілим та хворим при нещасних випадках i гострих захворюваннях, демонструвати вміння та навички.</w:t>
            </w:r>
            <w:r w:rsidRPr="0086108C">
              <w:rPr>
                <w:sz w:val="24"/>
                <w:szCs w:val="24"/>
                <w:lang w:val="uk-UA"/>
              </w:rPr>
              <w:t xml:space="preserve"> </w:t>
            </w:r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Розкрити практичні аспекти невідкладної допомоги при ранах та кровотечах,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опiках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вiдмороженнях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перегрiваннi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переохолодженнi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організму,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утопленнi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вивихах та переломах, черепно-мозковій травмі, травмі грудної клітини та живота, шоку,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колапсi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термiнальних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станах, гострій хірургічній інфекції, невідкладних станах у хворих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хiрургiчними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 терапевтичними захворюваннями, отруєннях, укусах тварин, невідкладних пологах,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епiлептичних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припадках.</w:t>
            </w:r>
          </w:p>
          <w:p w:rsidR="0086108C" w:rsidRPr="0086108C" w:rsidRDefault="00243F17" w:rsidP="0086108C">
            <w:pPr>
              <w:pStyle w:val="a4"/>
              <w:ind w:firstLine="36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86108C">
              <w:rPr>
                <w:rFonts w:ascii="Times New Roman" w:hAnsi="Times New Roman"/>
                <w:b/>
                <w:i/>
                <w:sz w:val="24"/>
              </w:rPr>
              <w:t>Завдання</w:t>
            </w:r>
            <w:proofErr w:type="spellEnd"/>
            <w:r w:rsidRPr="0086108C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 w:rsidRPr="0086108C">
              <w:rPr>
                <w:rFonts w:ascii="Times New Roman" w:hAnsi="Times New Roman"/>
                <w:sz w:val="24"/>
              </w:rPr>
              <w:t>–</w:t>
            </w:r>
            <w:r w:rsidRPr="0086108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86108C" w:rsidRPr="0086108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</w:t>
            </w:r>
            <w:r w:rsidR="0086108C"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наукового підходу до вирішення проблем надання невідкладної медичної допомоги потерпілим та хворих. Навчити студентів загальним правилам догляду за хворими, методиці проведення </w:t>
            </w:r>
            <w:proofErr w:type="spellStart"/>
            <w:r w:rsidR="0086108C"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лiкувальних</w:t>
            </w:r>
            <w:proofErr w:type="spellEnd"/>
            <w:r w:rsidR="0086108C"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 та маніпуляцій, виконання ін’єкцій, основам асептики та антисептики, видам пов'язок та правила їх накладення, видам ран та методи </w:t>
            </w:r>
            <w:r w:rsidR="0086108C" w:rsidRPr="0086108C">
              <w:rPr>
                <w:rFonts w:ascii="Times New Roman" w:hAnsi="Times New Roman"/>
                <w:sz w:val="24"/>
                <w:szCs w:val="24"/>
                <w:lang w:val="uk-UA"/>
              </w:rPr>
              <w:t>зупинки кровотеч;</w:t>
            </w:r>
          </w:p>
          <w:p w:rsidR="00F30840" w:rsidRPr="0086108C" w:rsidRDefault="00243F17" w:rsidP="0086108C">
            <w:pPr>
              <w:shd w:val="clear" w:color="auto" w:fill="FFFFFF"/>
              <w:ind w:firstLine="697"/>
              <w:jc w:val="both"/>
              <w:rPr>
                <w:b/>
                <w:lang w:bidi="uk-UA"/>
              </w:rPr>
            </w:pPr>
            <w:r w:rsidRPr="0086108C">
              <w:rPr>
                <w:b/>
                <w:i/>
                <w:sz w:val="24"/>
                <w:szCs w:val="24"/>
              </w:rPr>
              <w:t xml:space="preserve">Результатом </w:t>
            </w:r>
            <w:r w:rsidRPr="0086108C">
              <w:rPr>
                <w:sz w:val="24"/>
                <w:szCs w:val="24"/>
              </w:rPr>
              <w:t>навчання для дисципліни є здатність особи</w:t>
            </w:r>
            <w:r w:rsidRPr="0086108C">
              <w:rPr>
                <w:spacing w:val="1"/>
                <w:sz w:val="24"/>
                <w:szCs w:val="24"/>
              </w:rPr>
              <w:t xml:space="preserve"> </w:t>
            </w:r>
            <w:r w:rsidR="0086108C" w:rsidRPr="0086108C">
              <w:rPr>
                <w:sz w:val="24"/>
                <w:szCs w:val="24"/>
              </w:rPr>
              <w:t>надати допомогу при нещасних випадках, гострих захворюваннях, отруєні, електротравмі, ураженні блискавкою, утопленні, повішанні, сторонньому тілі у, дихальних шляхах; діагностувати критичний стан хворого, клінічну смерть; проводити закритий масаж серця та в</w:t>
            </w:r>
            <w:r w:rsidR="0086108C" w:rsidRPr="0086108C">
              <w:rPr>
                <w:snapToGrid w:val="0"/>
                <w:sz w:val="24"/>
                <w:szCs w:val="24"/>
              </w:rPr>
              <w:t>имірювати пульс, АТ, частоту дихання.</w:t>
            </w:r>
          </w:p>
        </w:tc>
      </w:tr>
      <w:tr w:rsidR="00F30840">
        <w:trPr>
          <w:trHeight w:val="3875"/>
        </w:trPr>
        <w:tc>
          <w:tcPr>
            <w:tcW w:w="2552" w:type="dxa"/>
            <w:tcBorders>
              <w:top w:val="nil"/>
            </w:tcBorders>
          </w:tcPr>
          <w:p w:rsidR="00F30840" w:rsidRDefault="00243F17">
            <w:pPr>
              <w:pStyle w:val="TableParagraph"/>
              <w:spacing w:before="4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змісту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F30840" w:rsidRDefault="00F30840">
            <w:pPr>
              <w:rPr>
                <w:sz w:val="2"/>
                <w:szCs w:val="2"/>
              </w:rPr>
            </w:pPr>
          </w:p>
        </w:tc>
      </w:tr>
      <w:tr w:rsidR="00021C77">
        <w:trPr>
          <w:trHeight w:val="1869"/>
        </w:trPr>
        <w:tc>
          <w:tcPr>
            <w:tcW w:w="2552" w:type="dxa"/>
            <w:tcBorders>
              <w:bottom w:val="nil"/>
            </w:tcBorders>
          </w:tcPr>
          <w:p w:rsidR="00021C77" w:rsidRDefault="00021C77">
            <w:pPr>
              <w:pStyle w:val="TableParagraph"/>
              <w:rPr>
                <w:sz w:val="26"/>
              </w:rPr>
            </w:pPr>
          </w:p>
          <w:p w:rsidR="00021C77" w:rsidRDefault="00021C77">
            <w:pPr>
              <w:pStyle w:val="TableParagraph"/>
              <w:rPr>
                <w:sz w:val="26"/>
              </w:rPr>
            </w:pPr>
          </w:p>
          <w:p w:rsidR="00021C77" w:rsidRDefault="00021C77">
            <w:pPr>
              <w:pStyle w:val="TableParagraph"/>
              <w:rPr>
                <w:sz w:val="26"/>
              </w:rPr>
            </w:pPr>
          </w:p>
          <w:p w:rsidR="00021C77" w:rsidRDefault="00021C77">
            <w:pPr>
              <w:pStyle w:val="TableParagraph"/>
              <w:rPr>
                <w:sz w:val="26"/>
              </w:rPr>
            </w:pPr>
          </w:p>
          <w:p w:rsidR="00021C77" w:rsidRDefault="00021C77">
            <w:pPr>
              <w:pStyle w:val="TableParagraph"/>
              <w:spacing w:before="2"/>
              <w:rPr>
                <w:sz w:val="32"/>
              </w:rPr>
            </w:pPr>
          </w:p>
          <w:p w:rsidR="00021C77" w:rsidRDefault="00021C77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806" w:type="dxa"/>
            <w:vMerge w:val="restart"/>
            <w:tcBorders>
              <w:right w:val="single" w:sz="6" w:space="0" w:color="000000"/>
            </w:tcBorders>
          </w:tcPr>
          <w:p w:rsidR="00A14DA3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>
              <w:rPr>
                <w:sz w:val="24"/>
              </w:rPr>
              <w:t>Загальні:</w:t>
            </w:r>
          </w:p>
          <w:p w:rsidR="00A14DA3" w:rsidRPr="0002385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>
              <w:rPr>
                <w:sz w:val="24"/>
              </w:rPr>
              <w:t>З 2</w:t>
            </w:r>
            <w:r w:rsidRPr="0002385F">
              <w:rPr>
                <w:sz w:val="24"/>
              </w:rPr>
              <w:t>.</w:t>
            </w:r>
            <w:r>
              <w:rPr>
                <w:sz w:val="24"/>
              </w:rPr>
              <w:t xml:space="preserve"> Знання п</w:t>
            </w:r>
            <w:r w:rsidRPr="0002385F">
              <w:rPr>
                <w:sz w:val="24"/>
              </w:rPr>
              <w:t xml:space="preserve">ринципів організації фармацевтичної допомоги різним групам населення та категоріям хворих. </w:t>
            </w:r>
          </w:p>
          <w:p w:rsidR="00A14DA3" w:rsidRPr="0002385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>
              <w:rPr>
                <w:sz w:val="24"/>
              </w:rPr>
              <w:t>З 3</w:t>
            </w:r>
            <w:r w:rsidRPr="0002385F">
              <w:rPr>
                <w:sz w:val="24"/>
              </w:rPr>
              <w:t>.</w:t>
            </w:r>
            <w:r>
              <w:rPr>
                <w:sz w:val="24"/>
              </w:rPr>
              <w:t xml:space="preserve"> Знання ф</w:t>
            </w:r>
            <w:r w:rsidRPr="0002385F">
              <w:rPr>
                <w:sz w:val="24"/>
              </w:rPr>
              <w:t xml:space="preserve">ахової термінології. </w:t>
            </w:r>
          </w:p>
          <w:p w:rsidR="00A14DA3" w:rsidRPr="0002385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>
              <w:rPr>
                <w:sz w:val="24"/>
              </w:rPr>
              <w:t>З 7</w:t>
            </w:r>
            <w:r w:rsidRPr="0002385F">
              <w:rPr>
                <w:sz w:val="24"/>
              </w:rPr>
              <w:t>.</w:t>
            </w:r>
            <w:r>
              <w:rPr>
                <w:sz w:val="24"/>
              </w:rPr>
              <w:t xml:space="preserve"> Знати п</w:t>
            </w:r>
            <w:r w:rsidRPr="0002385F">
              <w:rPr>
                <w:sz w:val="24"/>
              </w:rPr>
              <w:t>риналежності лікарських засобів до певних</w:t>
            </w:r>
            <w:r>
              <w:rPr>
                <w:sz w:val="24"/>
              </w:rPr>
              <w:t xml:space="preserve"> </w:t>
            </w:r>
            <w:r w:rsidRPr="0002385F">
              <w:rPr>
                <w:sz w:val="24"/>
              </w:rPr>
              <w:t>фармакологічних груп,</w:t>
            </w:r>
            <w:r>
              <w:rPr>
                <w:sz w:val="24"/>
              </w:rPr>
              <w:t xml:space="preserve"> їх</w:t>
            </w:r>
            <w:r w:rsidRPr="0002385F">
              <w:rPr>
                <w:sz w:val="24"/>
              </w:rPr>
              <w:t xml:space="preserve"> основних показань та протипоказань до застосування; особливостей фармакокінетики і </w:t>
            </w:r>
            <w:proofErr w:type="spellStart"/>
            <w:r w:rsidRPr="0002385F">
              <w:rPr>
                <w:sz w:val="24"/>
              </w:rPr>
              <w:t>фармакодинаміки</w:t>
            </w:r>
            <w:proofErr w:type="spellEnd"/>
            <w:r w:rsidRPr="0002385F">
              <w:rPr>
                <w:sz w:val="24"/>
              </w:rPr>
              <w:t xml:space="preserve"> ліків. </w:t>
            </w:r>
          </w:p>
          <w:p w:rsidR="00A14DA3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>
              <w:rPr>
                <w:sz w:val="24"/>
              </w:rPr>
              <w:t>З 8</w:t>
            </w:r>
            <w:r w:rsidRPr="0002385F">
              <w:rPr>
                <w:sz w:val="24"/>
              </w:rPr>
              <w:t>.</w:t>
            </w:r>
            <w:r>
              <w:rPr>
                <w:sz w:val="24"/>
              </w:rPr>
              <w:t xml:space="preserve"> Вміти застосовувати різні м</w:t>
            </w:r>
            <w:r w:rsidRPr="0002385F">
              <w:rPr>
                <w:sz w:val="24"/>
              </w:rPr>
              <w:t>етод</w:t>
            </w:r>
            <w:r>
              <w:rPr>
                <w:sz w:val="24"/>
              </w:rPr>
              <w:t>и</w:t>
            </w:r>
            <w:r w:rsidRPr="0002385F">
              <w:rPr>
                <w:sz w:val="24"/>
              </w:rPr>
              <w:t xml:space="preserve"> оцінки якості лікарських засобів, виготовлених</w:t>
            </w:r>
            <w:r>
              <w:rPr>
                <w:sz w:val="24"/>
              </w:rPr>
              <w:t xml:space="preserve"> </w:t>
            </w:r>
            <w:r w:rsidRPr="0002385F">
              <w:rPr>
                <w:sz w:val="24"/>
              </w:rPr>
              <w:t>в умовах аптеки та промислових підприємств</w:t>
            </w:r>
            <w:r>
              <w:rPr>
                <w:sz w:val="24"/>
              </w:rPr>
              <w:t>ах</w:t>
            </w:r>
            <w:r w:rsidRPr="0002385F">
              <w:rPr>
                <w:sz w:val="24"/>
              </w:rPr>
              <w:t xml:space="preserve">. </w:t>
            </w:r>
          </w:p>
          <w:p w:rsidR="00A14DA3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>
              <w:rPr>
                <w:sz w:val="24"/>
              </w:rPr>
              <w:t>Фахові:</w:t>
            </w:r>
          </w:p>
          <w:p w:rsidR="00A14DA3" w:rsidRPr="0002385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>
              <w:rPr>
                <w:sz w:val="24"/>
              </w:rPr>
              <w:t>Ф 2</w:t>
            </w:r>
            <w:r w:rsidRPr="0002385F">
              <w:rPr>
                <w:sz w:val="24"/>
              </w:rPr>
              <w:t xml:space="preserve">.Використовувати </w:t>
            </w:r>
            <w:r>
              <w:rPr>
                <w:sz w:val="24"/>
              </w:rPr>
              <w:t>набуті</w:t>
            </w:r>
            <w:r w:rsidRPr="0002385F">
              <w:rPr>
                <w:sz w:val="24"/>
              </w:rPr>
              <w:t xml:space="preserve"> знання та практичні</w:t>
            </w:r>
            <w:r>
              <w:rPr>
                <w:sz w:val="24"/>
              </w:rPr>
              <w:t xml:space="preserve"> </w:t>
            </w:r>
            <w:r w:rsidRPr="0002385F">
              <w:rPr>
                <w:sz w:val="24"/>
              </w:rPr>
              <w:t xml:space="preserve">навички в сфері професійної діяльності. </w:t>
            </w:r>
          </w:p>
          <w:p w:rsidR="00A14DA3" w:rsidRPr="00F7488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 w:rsidRPr="00F7488F">
              <w:rPr>
                <w:sz w:val="24"/>
              </w:rPr>
              <w:t>Ф</w:t>
            </w:r>
            <w:r w:rsidRPr="000238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02385F">
              <w:rPr>
                <w:sz w:val="24"/>
              </w:rPr>
              <w:t>.</w:t>
            </w:r>
            <w:r w:rsidRPr="00F7488F">
              <w:rPr>
                <w:sz w:val="24"/>
              </w:rPr>
              <w:t xml:space="preserve">Обирати раціональну технологію, з відповідним її </w:t>
            </w:r>
            <w:proofErr w:type="spellStart"/>
            <w:r w:rsidRPr="00F7488F">
              <w:rPr>
                <w:sz w:val="24"/>
              </w:rPr>
              <w:t>обгрунтуванням</w:t>
            </w:r>
            <w:proofErr w:type="spellEnd"/>
            <w:r w:rsidRPr="00F7488F">
              <w:rPr>
                <w:sz w:val="24"/>
              </w:rPr>
              <w:t>, виготовляти лікарські засоби у різних лікарських формах за рецептами лікарів і замовленнями лікувальних закладів, оформлювати їх до відпуску.</w:t>
            </w:r>
          </w:p>
          <w:p w:rsidR="00A14DA3" w:rsidRPr="0002385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 w:rsidRPr="00F7488F">
              <w:rPr>
                <w:sz w:val="24"/>
              </w:rPr>
              <w:t xml:space="preserve">Ф </w:t>
            </w:r>
            <w:r>
              <w:rPr>
                <w:sz w:val="24"/>
              </w:rPr>
              <w:t>7</w:t>
            </w:r>
            <w:r w:rsidRPr="0002385F">
              <w:rPr>
                <w:sz w:val="24"/>
              </w:rPr>
              <w:t xml:space="preserve">.Використовувати інформаційно-комунікативні </w:t>
            </w:r>
            <w:r w:rsidRPr="0002385F">
              <w:rPr>
                <w:sz w:val="24"/>
              </w:rPr>
              <w:lastRenderedPageBreak/>
              <w:t xml:space="preserve">технології в сфері професійної діяльності. </w:t>
            </w:r>
          </w:p>
          <w:p w:rsidR="00A14DA3" w:rsidRPr="0002385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 w:rsidRPr="00F7488F">
              <w:rPr>
                <w:sz w:val="24"/>
              </w:rPr>
              <w:t xml:space="preserve">Ф </w:t>
            </w:r>
            <w:r>
              <w:rPr>
                <w:sz w:val="24"/>
              </w:rPr>
              <w:t>11</w:t>
            </w:r>
            <w:r w:rsidRPr="0002385F">
              <w:rPr>
                <w:sz w:val="24"/>
              </w:rPr>
              <w:t>.Проводити санітарно-освітню та інформаційну роботу</w:t>
            </w:r>
            <w:r w:rsidRPr="00F7488F">
              <w:rPr>
                <w:sz w:val="24"/>
              </w:rPr>
              <w:t xml:space="preserve"> </w:t>
            </w:r>
            <w:r w:rsidRPr="0002385F">
              <w:rPr>
                <w:sz w:val="24"/>
              </w:rPr>
              <w:t xml:space="preserve">серед населення та медичних працівників. </w:t>
            </w:r>
          </w:p>
          <w:p w:rsidR="00A14DA3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 w:rsidRPr="00F7488F">
              <w:rPr>
                <w:sz w:val="24"/>
              </w:rPr>
              <w:t xml:space="preserve">Ф </w:t>
            </w:r>
            <w:r>
              <w:rPr>
                <w:sz w:val="24"/>
              </w:rPr>
              <w:t xml:space="preserve">12. </w:t>
            </w:r>
            <w:r w:rsidRPr="0002385F">
              <w:rPr>
                <w:sz w:val="24"/>
              </w:rPr>
              <w:t>Надавати долікарську допомогу особам при</w:t>
            </w:r>
            <w:r w:rsidRPr="00F7488F">
              <w:rPr>
                <w:sz w:val="24"/>
              </w:rPr>
              <w:t xml:space="preserve"> </w:t>
            </w:r>
            <w:r w:rsidRPr="0002385F">
              <w:rPr>
                <w:sz w:val="24"/>
              </w:rPr>
              <w:t xml:space="preserve">невідкладних станах. </w:t>
            </w:r>
          </w:p>
          <w:p w:rsidR="00A14DA3" w:rsidRPr="0002385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 w:rsidRPr="00F7488F">
              <w:rPr>
                <w:sz w:val="24"/>
              </w:rPr>
              <w:t xml:space="preserve">Ф </w:t>
            </w:r>
            <w:r>
              <w:rPr>
                <w:sz w:val="24"/>
              </w:rPr>
              <w:t>13</w:t>
            </w:r>
            <w:r w:rsidRPr="0002385F">
              <w:rPr>
                <w:sz w:val="24"/>
              </w:rPr>
              <w:t>. Уміння</w:t>
            </w:r>
            <w:r w:rsidRPr="00F7488F">
              <w:rPr>
                <w:sz w:val="24"/>
              </w:rPr>
              <w:t xml:space="preserve"> професійного спілкування сучасною українською літературною мовою та використовувати навички усної комунікації іноземною мовою</w:t>
            </w:r>
            <w:r w:rsidRPr="0002385F">
              <w:rPr>
                <w:sz w:val="24"/>
              </w:rPr>
              <w:t xml:space="preserve">. </w:t>
            </w:r>
          </w:p>
          <w:p w:rsidR="00A14DA3" w:rsidRPr="00C466B9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 w:rsidRPr="00F7488F">
              <w:rPr>
                <w:sz w:val="24"/>
              </w:rPr>
              <w:t xml:space="preserve">Ф </w:t>
            </w:r>
            <w:r>
              <w:rPr>
                <w:sz w:val="24"/>
              </w:rPr>
              <w:t>14</w:t>
            </w:r>
            <w:r w:rsidRPr="0002385F">
              <w:rPr>
                <w:sz w:val="24"/>
              </w:rPr>
              <w:t>. Здатність використовувати різноманітні методи, зокрема сучасні інформаційні технології, для ефективного спілкування на професійному та соціальному рівнях.</w:t>
            </w:r>
          </w:p>
          <w:p w:rsidR="00A14DA3" w:rsidRPr="0002385F" w:rsidRDefault="00A14DA3" w:rsidP="00A14DA3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>
              <w:rPr>
                <w:sz w:val="24"/>
              </w:rPr>
              <w:t>Ф 15</w:t>
            </w:r>
            <w:r w:rsidRPr="0002385F">
              <w:rPr>
                <w:sz w:val="24"/>
              </w:rPr>
              <w:t>.</w:t>
            </w:r>
            <w:r w:rsidRPr="00F7488F">
              <w:rPr>
                <w:sz w:val="24"/>
              </w:rPr>
              <w:t>Уміння</w:t>
            </w:r>
            <w:r w:rsidRPr="0002385F">
              <w:rPr>
                <w:sz w:val="24"/>
              </w:rPr>
              <w:t xml:space="preserve"> відповідально ставитись до виконуваної роботи, самостійно приймати рішення, досягати поставленої мети з дотриманням вимог професійної етики. </w:t>
            </w:r>
          </w:p>
          <w:p w:rsidR="00021C77" w:rsidRPr="005562D0" w:rsidRDefault="00A14DA3" w:rsidP="00A14DA3">
            <w:pPr>
              <w:spacing w:line="266" w:lineRule="exact"/>
              <w:ind w:left="260"/>
              <w:rPr>
                <w:sz w:val="24"/>
              </w:rPr>
            </w:pPr>
            <w:r w:rsidRPr="0002385F">
              <w:rPr>
                <w:sz w:val="24"/>
              </w:rPr>
              <w:t>ПР</w:t>
            </w:r>
            <w:r>
              <w:rPr>
                <w:sz w:val="24"/>
              </w:rPr>
              <w:t>Ф 16</w:t>
            </w:r>
            <w:r w:rsidRPr="0002385F">
              <w:rPr>
                <w:sz w:val="24"/>
              </w:rPr>
              <w:t>.Здатність до самонавчання та продовження професійного розвитку.</w:t>
            </w:r>
          </w:p>
        </w:tc>
      </w:tr>
      <w:tr w:rsidR="00021C77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021C77" w:rsidRDefault="00021C77">
            <w:pPr>
              <w:pStyle w:val="TableParagraph"/>
              <w:spacing w:before="6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021C77" w:rsidRDefault="00021C77">
            <w:pPr>
              <w:rPr>
                <w:sz w:val="2"/>
                <w:szCs w:val="2"/>
              </w:rPr>
            </w:pPr>
          </w:p>
        </w:tc>
      </w:tr>
      <w:tr w:rsidR="00021C77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021C77" w:rsidRDefault="00021C77">
            <w:pPr>
              <w:pStyle w:val="TableParagraph"/>
              <w:spacing w:before="4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професійних</w:t>
            </w:r>
          </w:p>
        </w:tc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021C77" w:rsidRDefault="00021C77">
            <w:pPr>
              <w:rPr>
                <w:sz w:val="2"/>
                <w:szCs w:val="2"/>
              </w:rPr>
            </w:pPr>
          </w:p>
        </w:tc>
      </w:tr>
      <w:tr w:rsidR="00021C77">
        <w:trPr>
          <w:trHeight w:val="1902"/>
        </w:trPr>
        <w:tc>
          <w:tcPr>
            <w:tcW w:w="2552" w:type="dxa"/>
            <w:tcBorders>
              <w:top w:val="nil"/>
            </w:tcBorders>
          </w:tcPr>
          <w:p w:rsidR="00021C77" w:rsidRDefault="00021C77">
            <w:pPr>
              <w:pStyle w:val="TableParagraph"/>
              <w:spacing w:before="4"/>
              <w:ind w:left="3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</w:p>
        </w:tc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021C77" w:rsidRDefault="00021C77">
            <w:pPr>
              <w:rPr>
                <w:sz w:val="2"/>
                <w:szCs w:val="2"/>
              </w:rPr>
            </w:pPr>
          </w:p>
        </w:tc>
      </w:tr>
    </w:tbl>
    <w:p w:rsidR="00F30840" w:rsidRDefault="00F30840">
      <w:pPr>
        <w:rPr>
          <w:sz w:val="2"/>
          <w:szCs w:val="2"/>
        </w:rPr>
        <w:sectPr w:rsidR="00F30840">
          <w:type w:val="continuous"/>
          <w:pgSz w:w="11910" w:h="16840"/>
          <w:pgMar w:top="1120" w:right="1020" w:bottom="280" w:left="1300" w:header="720" w:footer="720" w:gutter="0"/>
          <w:cols w:space="720"/>
        </w:sectPr>
      </w:pPr>
    </w:p>
    <w:p w:rsidR="00243F17" w:rsidRDefault="00243F17"/>
    <w:sectPr w:rsidR="00243F17" w:rsidSect="00F30840">
      <w:pgSz w:w="11910" w:h="16840"/>
      <w:pgMar w:top="112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130"/>
    <w:multiLevelType w:val="hybridMultilevel"/>
    <w:tmpl w:val="CBFC08AE"/>
    <w:lvl w:ilvl="0" w:tplc="51C0A53A">
      <w:numFmt w:val="bullet"/>
      <w:lvlText w:val="•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DA9372">
      <w:numFmt w:val="bullet"/>
      <w:lvlText w:val="•"/>
      <w:lvlJc w:val="left"/>
      <w:pPr>
        <w:ind w:left="769" w:hanging="384"/>
      </w:pPr>
      <w:rPr>
        <w:rFonts w:hint="default"/>
        <w:lang w:val="uk-UA" w:eastAsia="en-US" w:bidi="ar-SA"/>
      </w:rPr>
    </w:lvl>
    <w:lvl w:ilvl="2" w:tplc="17C8C0FE">
      <w:numFmt w:val="bullet"/>
      <w:lvlText w:val="•"/>
      <w:lvlJc w:val="left"/>
      <w:pPr>
        <w:ind w:left="1438" w:hanging="384"/>
      </w:pPr>
      <w:rPr>
        <w:rFonts w:hint="default"/>
        <w:lang w:val="uk-UA" w:eastAsia="en-US" w:bidi="ar-SA"/>
      </w:rPr>
    </w:lvl>
    <w:lvl w:ilvl="3" w:tplc="5E22C8F8">
      <w:numFmt w:val="bullet"/>
      <w:lvlText w:val="•"/>
      <w:lvlJc w:val="left"/>
      <w:pPr>
        <w:ind w:left="2108" w:hanging="384"/>
      </w:pPr>
      <w:rPr>
        <w:rFonts w:hint="default"/>
        <w:lang w:val="uk-UA" w:eastAsia="en-US" w:bidi="ar-SA"/>
      </w:rPr>
    </w:lvl>
    <w:lvl w:ilvl="4" w:tplc="79D2027A">
      <w:numFmt w:val="bullet"/>
      <w:lvlText w:val="•"/>
      <w:lvlJc w:val="left"/>
      <w:pPr>
        <w:ind w:left="2777" w:hanging="384"/>
      </w:pPr>
      <w:rPr>
        <w:rFonts w:hint="default"/>
        <w:lang w:val="uk-UA" w:eastAsia="en-US" w:bidi="ar-SA"/>
      </w:rPr>
    </w:lvl>
    <w:lvl w:ilvl="5" w:tplc="498613FE">
      <w:numFmt w:val="bullet"/>
      <w:lvlText w:val="•"/>
      <w:lvlJc w:val="left"/>
      <w:pPr>
        <w:ind w:left="3446" w:hanging="384"/>
      </w:pPr>
      <w:rPr>
        <w:rFonts w:hint="default"/>
        <w:lang w:val="uk-UA" w:eastAsia="en-US" w:bidi="ar-SA"/>
      </w:rPr>
    </w:lvl>
    <w:lvl w:ilvl="6" w:tplc="4086DC3C">
      <w:numFmt w:val="bullet"/>
      <w:lvlText w:val="•"/>
      <w:lvlJc w:val="left"/>
      <w:pPr>
        <w:ind w:left="4116" w:hanging="384"/>
      </w:pPr>
      <w:rPr>
        <w:rFonts w:hint="default"/>
        <w:lang w:val="uk-UA" w:eastAsia="en-US" w:bidi="ar-SA"/>
      </w:rPr>
    </w:lvl>
    <w:lvl w:ilvl="7" w:tplc="AA3EBC4A">
      <w:numFmt w:val="bullet"/>
      <w:lvlText w:val="•"/>
      <w:lvlJc w:val="left"/>
      <w:pPr>
        <w:ind w:left="4785" w:hanging="384"/>
      </w:pPr>
      <w:rPr>
        <w:rFonts w:hint="default"/>
        <w:lang w:val="uk-UA" w:eastAsia="en-US" w:bidi="ar-SA"/>
      </w:rPr>
    </w:lvl>
    <w:lvl w:ilvl="8" w:tplc="16AE894C">
      <w:numFmt w:val="bullet"/>
      <w:lvlText w:val="•"/>
      <w:lvlJc w:val="left"/>
      <w:pPr>
        <w:ind w:left="5454" w:hanging="384"/>
      </w:pPr>
      <w:rPr>
        <w:rFonts w:hint="default"/>
        <w:lang w:val="uk-UA" w:eastAsia="en-US" w:bidi="ar-SA"/>
      </w:rPr>
    </w:lvl>
  </w:abstractNum>
  <w:abstractNum w:abstractNumId="1" w15:restartNumberingAfterBreak="0">
    <w:nsid w:val="47EA1DC4"/>
    <w:multiLevelType w:val="hybridMultilevel"/>
    <w:tmpl w:val="59EC46B8"/>
    <w:lvl w:ilvl="0" w:tplc="610EB2EA">
      <w:numFmt w:val="bullet"/>
      <w:lvlText w:val="•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462DA3E">
      <w:numFmt w:val="bullet"/>
      <w:lvlText w:val="•"/>
      <w:lvlJc w:val="left"/>
      <w:pPr>
        <w:ind w:left="769" w:hanging="384"/>
      </w:pPr>
      <w:rPr>
        <w:rFonts w:hint="default"/>
        <w:lang w:val="uk-UA" w:eastAsia="en-US" w:bidi="ar-SA"/>
      </w:rPr>
    </w:lvl>
    <w:lvl w:ilvl="2" w:tplc="34AAB10A">
      <w:numFmt w:val="bullet"/>
      <w:lvlText w:val="•"/>
      <w:lvlJc w:val="left"/>
      <w:pPr>
        <w:ind w:left="1438" w:hanging="384"/>
      </w:pPr>
      <w:rPr>
        <w:rFonts w:hint="default"/>
        <w:lang w:val="uk-UA" w:eastAsia="en-US" w:bidi="ar-SA"/>
      </w:rPr>
    </w:lvl>
    <w:lvl w:ilvl="3" w:tplc="76EEF0EA">
      <w:numFmt w:val="bullet"/>
      <w:lvlText w:val="•"/>
      <w:lvlJc w:val="left"/>
      <w:pPr>
        <w:ind w:left="2108" w:hanging="384"/>
      </w:pPr>
      <w:rPr>
        <w:rFonts w:hint="default"/>
        <w:lang w:val="uk-UA" w:eastAsia="en-US" w:bidi="ar-SA"/>
      </w:rPr>
    </w:lvl>
    <w:lvl w:ilvl="4" w:tplc="F3E67C1E">
      <w:numFmt w:val="bullet"/>
      <w:lvlText w:val="•"/>
      <w:lvlJc w:val="left"/>
      <w:pPr>
        <w:ind w:left="2777" w:hanging="384"/>
      </w:pPr>
      <w:rPr>
        <w:rFonts w:hint="default"/>
        <w:lang w:val="uk-UA" w:eastAsia="en-US" w:bidi="ar-SA"/>
      </w:rPr>
    </w:lvl>
    <w:lvl w:ilvl="5" w:tplc="0396F444">
      <w:numFmt w:val="bullet"/>
      <w:lvlText w:val="•"/>
      <w:lvlJc w:val="left"/>
      <w:pPr>
        <w:ind w:left="3446" w:hanging="384"/>
      </w:pPr>
      <w:rPr>
        <w:rFonts w:hint="default"/>
        <w:lang w:val="uk-UA" w:eastAsia="en-US" w:bidi="ar-SA"/>
      </w:rPr>
    </w:lvl>
    <w:lvl w:ilvl="6" w:tplc="A062362C">
      <w:numFmt w:val="bullet"/>
      <w:lvlText w:val="•"/>
      <w:lvlJc w:val="left"/>
      <w:pPr>
        <w:ind w:left="4116" w:hanging="384"/>
      </w:pPr>
      <w:rPr>
        <w:rFonts w:hint="default"/>
        <w:lang w:val="uk-UA" w:eastAsia="en-US" w:bidi="ar-SA"/>
      </w:rPr>
    </w:lvl>
    <w:lvl w:ilvl="7" w:tplc="8F12153E">
      <w:numFmt w:val="bullet"/>
      <w:lvlText w:val="•"/>
      <w:lvlJc w:val="left"/>
      <w:pPr>
        <w:ind w:left="4785" w:hanging="384"/>
      </w:pPr>
      <w:rPr>
        <w:rFonts w:hint="default"/>
        <w:lang w:val="uk-UA" w:eastAsia="en-US" w:bidi="ar-SA"/>
      </w:rPr>
    </w:lvl>
    <w:lvl w:ilvl="8" w:tplc="695A236C">
      <w:numFmt w:val="bullet"/>
      <w:lvlText w:val="•"/>
      <w:lvlJc w:val="left"/>
      <w:pPr>
        <w:ind w:left="5454" w:hanging="384"/>
      </w:pPr>
      <w:rPr>
        <w:rFonts w:hint="default"/>
        <w:lang w:val="uk-UA" w:eastAsia="en-US" w:bidi="ar-SA"/>
      </w:rPr>
    </w:lvl>
  </w:abstractNum>
  <w:abstractNum w:abstractNumId="2" w15:restartNumberingAfterBreak="0">
    <w:nsid w:val="6C845407"/>
    <w:multiLevelType w:val="hybridMultilevel"/>
    <w:tmpl w:val="F26CCEF6"/>
    <w:lvl w:ilvl="0" w:tplc="A56A5DFC">
      <w:numFmt w:val="bullet"/>
      <w:lvlText w:val="-"/>
      <w:lvlJc w:val="left"/>
      <w:pPr>
        <w:ind w:left="720" w:hanging="360"/>
      </w:pPr>
      <w:rPr>
        <w:rFonts w:ascii="SchoolBookCTT" w:eastAsia="Times New Roman" w:hAnsi="SchoolBookCTT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40"/>
    <w:rsid w:val="00021C77"/>
    <w:rsid w:val="00105296"/>
    <w:rsid w:val="00215E0C"/>
    <w:rsid w:val="00243F17"/>
    <w:rsid w:val="005E255D"/>
    <w:rsid w:val="0086108C"/>
    <w:rsid w:val="00871C76"/>
    <w:rsid w:val="00A14DA3"/>
    <w:rsid w:val="00CE719D"/>
    <w:rsid w:val="00F30840"/>
    <w:rsid w:val="00FB2FBB"/>
    <w:rsid w:val="00F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97508-FA4E-4468-9339-E81BCAB2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084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30840"/>
  </w:style>
  <w:style w:type="paragraph" w:customStyle="1" w:styleId="TableParagraph">
    <w:name w:val="Table Paragraph"/>
    <w:basedOn w:val="a"/>
    <w:uiPriority w:val="1"/>
    <w:qFormat/>
    <w:rsid w:val="00F30840"/>
  </w:style>
  <w:style w:type="paragraph" w:styleId="a4">
    <w:name w:val="Plain Text"/>
    <w:basedOn w:val="a"/>
    <w:link w:val="a5"/>
    <w:rsid w:val="0086108C"/>
    <w:pPr>
      <w:widowControl/>
      <w:autoSpaceDE/>
      <w:autoSpaceDN/>
      <w:ind w:firstLine="567"/>
      <w:jc w:val="both"/>
    </w:pPr>
    <w:rPr>
      <w:rFonts w:ascii="Courier New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86108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rsid w:val="00A14DA3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A14DA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вибіркових дисциплін</vt:lpstr>
    </vt:vector>
  </TitlesOfParts>
  <Company>Reanimator Extreme Edition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вибіркових дисциплін</dc:title>
  <dc:creator>Dek5</dc:creator>
  <cp:lastModifiedBy>Ira</cp:lastModifiedBy>
  <cp:revision>2</cp:revision>
  <dcterms:created xsi:type="dcterms:W3CDTF">2022-02-11T18:23:00Z</dcterms:created>
  <dcterms:modified xsi:type="dcterms:W3CDTF">2022-02-11T18:23:00Z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2022-02-06T00:00:00Z</vt:filetime>
  </property>
</Properties>
</file>